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E558" w14:textId="77777777" w:rsidR="00810613" w:rsidRPr="00703E73" w:rsidRDefault="00810613" w:rsidP="00810613">
      <w:pPr>
        <w:spacing w:after="0"/>
        <w:jc w:val="center"/>
        <w:rPr>
          <w:rFonts w:cs="Calibri"/>
          <w:b/>
          <w:sz w:val="18"/>
          <w:szCs w:val="18"/>
        </w:rPr>
      </w:pPr>
      <w:r w:rsidRPr="00703E73">
        <w:rPr>
          <w:rFonts w:cs="Calibri"/>
          <w:b/>
          <w:sz w:val="18"/>
          <w:szCs w:val="18"/>
        </w:rPr>
        <w:t>STATE OF MICHIGAN</w:t>
      </w:r>
    </w:p>
    <w:p w14:paraId="65A268E3" w14:textId="173DFE43" w:rsidR="00810613" w:rsidRPr="00703E73" w:rsidRDefault="00810613" w:rsidP="00810613">
      <w:pPr>
        <w:spacing w:after="0"/>
        <w:jc w:val="center"/>
        <w:rPr>
          <w:rFonts w:cs="Calibri"/>
          <w:b/>
          <w:sz w:val="18"/>
          <w:szCs w:val="18"/>
        </w:rPr>
      </w:pPr>
      <w:r w:rsidRPr="00703E73">
        <w:rPr>
          <w:rFonts w:cs="Calibri"/>
          <w:b/>
          <w:sz w:val="18"/>
          <w:szCs w:val="18"/>
        </w:rPr>
        <w:t>FAMILY DIVISION 10</w:t>
      </w:r>
      <w:r w:rsidRPr="00703E73">
        <w:rPr>
          <w:rFonts w:cs="Calibri"/>
          <w:b/>
          <w:sz w:val="18"/>
          <w:szCs w:val="18"/>
          <w:vertAlign w:val="superscript"/>
        </w:rPr>
        <w:t>TH</w:t>
      </w:r>
      <w:r w:rsidRPr="00703E73">
        <w:rPr>
          <w:rFonts w:cs="Calibri"/>
          <w:b/>
          <w:sz w:val="18"/>
          <w:szCs w:val="18"/>
        </w:rPr>
        <w:t xml:space="preserve"> JUDICIAL CIRCUIT COURT</w:t>
      </w:r>
    </w:p>
    <w:p w14:paraId="05C89A21" w14:textId="77777777" w:rsidR="00810613" w:rsidRPr="00703E73" w:rsidRDefault="00810613" w:rsidP="00630802">
      <w:pPr>
        <w:spacing w:after="0"/>
        <w:rPr>
          <w:rFonts w:cs="Calibri"/>
          <w:b/>
          <w:sz w:val="18"/>
          <w:szCs w:val="18"/>
        </w:rPr>
      </w:pPr>
    </w:p>
    <w:p w14:paraId="7BCD9F07" w14:textId="274EFA1B" w:rsidR="00810613" w:rsidRPr="00703E73" w:rsidRDefault="00810613" w:rsidP="00630802">
      <w:pPr>
        <w:spacing w:after="0"/>
        <w:jc w:val="center"/>
        <w:rPr>
          <w:rFonts w:cs="Calibri"/>
          <w:sz w:val="18"/>
          <w:szCs w:val="18"/>
        </w:rPr>
      </w:pPr>
      <w:r w:rsidRPr="00703E73">
        <w:rPr>
          <w:rFonts w:cs="Calibri"/>
          <w:sz w:val="18"/>
          <w:szCs w:val="18"/>
        </w:rPr>
        <w:t>At a session of Court, held in the Family Division of the 10</w:t>
      </w:r>
      <w:r w:rsidRPr="00703E73">
        <w:rPr>
          <w:rFonts w:cs="Calibri"/>
          <w:sz w:val="18"/>
          <w:szCs w:val="18"/>
          <w:vertAlign w:val="superscript"/>
        </w:rPr>
        <w:t>th</w:t>
      </w:r>
      <w:r w:rsidRPr="00703E73">
        <w:rPr>
          <w:rFonts w:cs="Calibri"/>
          <w:sz w:val="18"/>
          <w:szCs w:val="18"/>
        </w:rPr>
        <w:t xml:space="preserve"> Judicial Circuit Court in the City of Saginaw, County of Saginaw, State of Michigan, on _________ of   ___________________________</w:t>
      </w:r>
    </w:p>
    <w:p w14:paraId="1A5AD4D8" w14:textId="77777777" w:rsidR="00810613" w:rsidRPr="00703E73" w:rsidRDefault="00810613" w:rsidP="00630802">
      <w:pPr>
        <w:spacing w:after="0"/>
        <w:jc w:val="center"/>
        <w:rPr>
          <w:rFonts w:cs="Calibri"/>
          <w:sz w:val="18"/>
          <w:szCs w:val="18"/>
        </w:rPr>
      </w:pPr>
    </w:p>
    <w:p w14:paraId="29A41B57" w14:textId="77777777" w:rsidR="00810613" w:rsidRPr="00703E73" w:rsidRDefault="00810613" w:rsidP="00630802">
      <w:pPr>
        <w:spacing w:after="0"/>
        <w:jc w:val="center"/>
        <w:rPr>
          <w:rFonts w:cs="Calibri"/>
          <w:sz w:val="18"/>
          <w:szCs w:val="18"/>
        </w:rPr>
      </w:pPr>
      <w:r w:rsidRPr="00703E73">
        <w:rPr>
          <w:rFonts w:cs="Calibri"/>
          <w:sz w:val="18"/>
          <w:szCs w:val="18"/>
        </w:rPr>
        <w:t xml:space="preserve">PRESENT: HON.  </w:t>
      </w:r>
      <w:r>
        <w:rPr>
          <w:rFonts w:cs="Calibri"/>
          <w:sz w:val="18"/>
          <w:szCs w:val="18"/>
        </w:rPr>
        <w:t>Brittany Dicken</w:t>
      </w:r>
      <w:r w:rsidRPr="00703E73">
        <w:rPr>
          <w:rFonts w:cs="Calibri"/>
          <w:sz w:val="18"/>
          <w:szCs w:val="18"/>
        </w:rPr>
        <w:t>, FAMILY DIVISION CIRCUIT COURT JUDGE</w:t>
      </w:r>
    </w:p>
    <w:p w14:paraId="17B9AD47" w14:textId="77777777" w:rsidR="00810613" w:rsidRPr="00703E73" w:rsidRDefault="00810613" w:rsidP="00810613">
      <w:pPr>
        <w:spacing w:after="0"/>
        <w:rPr>
          <w:rFonts w:cs="Calibri"/>
          <w:sz w:val="18"/>
          <w:szCs w:val="18"/>
        </w:rPr>
      </w:pPr>
    </w:p>
    <w:p w14:paraId="49393A02" w14:textId="77777777" w:rsidR="00810613" w:rsidRPr="00703E73" w:rsidRDefault="00810613" w:rsidP="00810613">
      <w:pPr>
        <w:spacing w:after="0"/>
        <w:jc w:val="center"/>
        <w:rPr>
          <w:rFonts w:cs="Calibri"/>
          <w:b/>
          <w:i/>
          <w:sz w:val="18"/>
          <w:szCs w:val="18"/>
        </w:rPr>
      </w:pPr>
      <w:r w:rsidRPr="00703E73">
        <w:rPr>
          <w:rFonts w:cs="Calibri"/>
          <w:b/>
          <w:i/>
          <w:sz w:val="18"/>
          <w:szCs w:val="18"/>
        </w:rPr>
        <w:t>THIS ORDER IS BEING PRESENTED TO THE PARTIES (IF PRO PER) AND ATTORNEYS.  IF YOU OBJECT TO ANY ITEM IN THIS ORDER, YOU MUST PROPERLY NOTICE YOUR OBJECTION UP FOR HEARING BEFORE THE ASSIGNED JUDGE.  YOU MUST FILE YOUR OBJECTIONS NO LATER THAN 45 DAYS FROM THE DATE OF THIS ORDER OR OBJECTIONS WILL BE WAIVED.</w:t>
      </w:r>
    </w:p>
    <w:p w14:paraId="337347ED" w14:textId="77777777" w:rsidR="00810613" w:rsidRPr="00703E73" w:rsidRDefault="00810613" w:rsidP="00810613">
      <w:pPr>
        <w:spacing w:after="0"/>
        <w:jc w:val="center"/>
        <w:rPr>
          <w:rFonts w:cs="Calibri"/>
          <w:b/>
          <w:i/>
          <w:sz w:val="18"/>
          <w:szCs w:val="18"/>
        </w:rPr>
      </w:pPr>
    </w:p>
    <w:p w14:paraId="689B29D5" w14:textId="77777777" w:rsidR="00810613" w:rsidRPr="00703E73" w:rsidRDefault="00810613" w:rsidP="00810613">
      <w:pPr>
        <w:spacing w:after="0"/>
        <w:jc w:val="center"/>
        <w:rPr>
          <w:rFonts w:cs="Calibri"/>
          <w:b/>
          <w:sz w:val="18"/>
          <w:szCs w:val="18"/>
          <w:u w:val="single"/>
        </w:rPr>
      </w:pPr>
      <w:r w:rsidRPr="00703E73">
        <w:rPr>
          <w:rFonts w:cs="Calibri"/>
          <w:b/>
          <w:sz w:val="18"/>
          <w:szCs w:val="18"/>
          <w:u w:val="single"/>
        </w:rPr>
        <w:t>SCHEDULING ORDER (DOMESTIC RELATIONS)</w:t>
      </w:r>
    </w:p>
    <w:p w14:paraId="23A0CF4F" w14:textId="77777777" w:rsidR="00810613" w:rsidRPr="00703E73" w:rsidRDefault="00810613" w:rsidP="00810613">
      <w:pPr>
        <w:numPr>
          <w:ilvl w:val="0"/>
          <w:numId w:val="1"/>
        </w:numPr>
        <w:spacing w:after="0" w:line="240" w:lineRule="auto"/>
        <w:rPr>
          <w:rFonts w:cs="Calibri"/>
          <w:sz w:val="18"/>
          <w:szCs w:val="18"/>
        </w:rPr>
      </w:pPr>
      <w:r w:rsidRPr="00630802">
        <w:rPr>
          <w:rFonts w:cs="Calibri"/>
          <w:b/>
          <w:bCs/>
          <w:sz w:val="18"/>
          <w:szCs w:val="18"/>
        </w:rPr>
        <w:t>TRIAL ISSUES</w:t>
      </w:r>
      <w:r w:rsidRPr="00703E73">
        <w:rPr>
          <w:rFonts w:cs="Calibri"/>
          <w:sz w:val="18"/>
          <w:szCs w:val="18"/>
        </w:rPr>
        <w:t xml:space="preserve">:  Any issues to be tried or that are in contention must be submitted to the Court on a document entitled “Defendant/Plaintiff Trial Issues” (attached).  This submission must be made within </w:t>
      </w:r>
      <w:r w:rsidRPr="00703E73">
        <w:rPr>
          <w:rFonts w:cs="Calibri"/>
          <w:b/>
          <w:sz w:val="18"/>
          <w:szCs w:val="18"/>
        </w:rPr>
        <w:t>28 days</w:t>
      </w:r>
      <w:r w:rsidRPr="00703E73">
        <w:rPr>
          <w:rFonts w:cs="Calibri"/>
          <w:sz w:val="18"/>
          <w:szCs w:val="18"/>
        </w:rPr>
        <w:t xml:space="preserve"> of this Order, or a default or dismissal may be entered against you.  These are the only issues that will be tried.  An amended “Defendant/Plaintiff Trial Issues” may be filed no later than </w:t>
      </w:r>
      <w:r w:rsidRPr="00703E73">
        <w:rPr>
          <w:rFonts w:cs="Calibri"/>
          <w:b/>
          <w:sz w:val="18"/>
          <w:szCs w:val="18"/>
        </w:rPr>
        <w:t>28 days</w:t>
      </w:r>
      <w:r w:rsidRPr="00703E73">
        <w:rPr>
          <w:rFonts w:cs="Calibri"/>
          <w:sz w:val="18"/>
          <w:szCs w:val="18"/>
        </w:rPr>
        <w:t xml:space="preserve"> before the original Trial date.</w:t>
      </w:r>
    </w:p>
    <w:p w14:paraId="6B3DD7FF" w14:textId="77777777" w:rsidR="00810613" w:rsidRPr="00703E73" w:rsidRDefault="00810613" w:rsidP="00810613">
      <w:pPr>
        <w:numPr>
          <w:ilvl w:val="0"/>
          <w:numId w:val="1"/>
        </w:numPr>
        <w:spacing w:after="0" w:line="240" w:lineRule="auto"/>
        <w:rPr>
          <w:rFonts w:cs="Calibri"/>
          <w:sz w:val="18"/>
          <w:szCs w:val="18"/>
        </w:rPr>
      </w:pPr>
      <w:r w:rsidRPr="00630802">
        <w:rPr>
          <w:rFonts w:cs="Calibri"/>
          <w:b/>
          <w:bCs/>
          <w:sz w:val="18"/>
          <w:szCs w:val="18"/>
        </w:rPr>
        <w:t>DISCOVERY:</w:t>
      </w:r>
      <w:r w:rsidRPr="00703E73">
        <w:rPr>
          <w:rFonts w:cs="Calibri"/>
          <w:sz w:val="18"/>
          <w:szCs w:val="18"/>
        </w:rPr>
        <w:t xml:space="preserve">  It is ordered that discovery be completed </w:t>
      </w:r>
      <w:r w:rsidRPr="00703E73">
        <w:rPr>
          <w:rFonts w:cs="Calibri"/>
          <w:b/>
          <w:sz w:val="18"/>
          <w:szCs w:val="18"/>
        </w:rPr>
        <w:t>91 days</w:t>
      </w:r>
      <w:r w:rsidRPr="00703E73">
        <w:rPr>
          <w:rFonts w:cs="Calibri"/>
          <w:sz w:val="18"/>
          <w:szCs w:val="18"/>
        </w:rPr>
        <w:t xml:space="preserve"> from the date of this order.  The discovery period may be extended to a mutually agreed upon date by the parties on written Order of the Court if good cause is shown.  However, discovery must be completed no later than </w:t>
      </w:r>
      <w:r w:rsidRPr="00703E73">
        <w:rPr>
          <w:rFonts w:cs="Calibri"/>
          <w:b/>
          <w:sz w:val="18"/>
          <w:szCs w:val="18"/>
        </w:rPr>
        <w:t>28 days</w:t>
      </w:r>
      <w:r w:rsidRPr="00703E73">
        <w:rPr>
          <w:rFonts w:cs="Calibri"/>
          <w:sz w:val="18"/>
          <w:szCs w:val="18"/>
        </w:rPr>
        <w:t xml:space="preserve"> before the first or originally set Trial date.  A settlement conference and trial date will be set after the close of discovery.   The attorneys who will try the matter must have complete authority to resolve the matter at the time of the settlement conference.   The attorneys and/or parties will meet with the judge and/or his or her law clerk at the settlement conference, so that a meaningful settlement conference can proceed.</w:t>
      </w:r>
    </w:p>
    <w:p w14:paraId="3E944AB9" w14:textId="77777777" w:rsidR="00810613" w:rsidRPr="00703E73" w:rsidRDefault="00810613" w:rsidP="00810613">
      <w:pPr>
        <w:numPr>
          <w:ilvl w:val="0"/>
          <w:numId w:val="1"/>
        </w:numPr>
        <w:spacing w:after="0" w:line="240" w:lineRule="auto"/>
        <w:rPr>
          <w:rFonts w:cs="Calibri"/>
          <w:sz w:val="18"/>
          <w:szCs w:val="18"/>
        </w:rPr>
      </w:pPr>
      <w:r w:rsidRPr="00630802">
        <w:rPr>
          <w:rFonts w:cs="Calibri"/>
          <w:b/>
          <w:bCs/>
          <w:sz w:val="18"/>
          <w:szCs w:val="18"/>
        </w:rPr>
        <w:t>WITNESSES</w:t>
      </w:r>
      <w:r w:rsidRPr="00703E73">
        <w:rPr>
          <w:rFonts w:cs="Calibri"/>
          <w:sz w:val="18"/>
          <w:szCs w:val="18"/>
        </w:rPr>
        <w:t xml:space="preserve">:  It is ordered that the parties shall file with the Court and exchange with all parties their Witness List listing all known witnesses including experts and their addresses that they may call at Trial within </w:t>
      </w:r>
      <w:r w:rsidRPr="00703E73">
        <w:rPr>
          <w:rFonts w:cs="Calibri"/>
          <w:b/>
          <w:sz w:val="18"/>
          <w:szCs w:val="18"/>
        </w:rPr>
        <w:t>35 days</w:t>
      </w:r>
      <w:r w:rsidRPr="00703E73">
        <w:rPr>
          <w:rFonts w:cs="Calibri"/>
          <w:sz w:val="18"/>
          <w:szCs w:val="18"/>
        </w:rPr>
        <w:t xml:space="preserve"> from the date of this Order or all witnesses will be excluded.  A motion showing good cause is necessary to add any later discovered witnesses to a timely filed witness list; or to allow any witness not listed other than parties.</w:t>
      </w:r>
    </w:p>
    <w:p w14:paraId="5A036310" w14:textId="77777777" w:rsidR="00810613" w:rsidRPr="00703E73" w:rsidRDefault="00810613" w:rsidP="00810613">
      <w:pPr>
        <w:numPr>
          <w:ilvl w:val="0"/>
          <w:numId w:val="1"/>
        </w:numPr>
        <w:spacing w:after="0" w:line="240" w:lineRule="auto"/>
        <w:rPr>
          <w:rFonts w:cs="Calibri"/>
          <w:sz w:val="18"/>
          <w:szCs w:val="18"/>
        </w:rPr>
      </w:pPr>
      <w:r w:rsidRPr="00630802">
        <w:rPr>
          <w:rFonts w:cs="Calibri"/>
          <w:b/>
          <w:bCs/>
          <w:sz w:val="18"/>
          <w:szCs w:val="18"/>
        </w:rPr>
        <w:t>EXHIBIT LIST:</w:t>
      </w:r>
      <w:r w:rsidRPr="00703E73">
        <w:rPr>
          <w:rFonts w:cs="Calibri"/>
          <w:sz w:val="18"/>
          <w:szCs w:val="18"/>
        </w:rPr>
        <w:t xml:space="preserve">  The parties are to file with the Court and exchange with all parties their Exhibit Lists no later than </w:t>
      </w:r>
      <w:r w:rsidRPr="00703E73">
        <w:rPr>
          <w:rFonts w:cs="Calibri"/>
          <w:b/>
          <w:sz w:val="18"/>
          <w:szCs w:val="18"/>
        </w:rPr>
        <w:t>7 days</w:t>
      </w:r>
      <w:r w:rsidRPr="00703E73">
        <w:rPr>
          <w:rFonts w:cs="Calibri"/>
          <w:sz w:val="18"/>
          <w:szCs w:val="18"/>
        </w:rPr>
        <w:t xml:space="preserve"> before the first trial date.  If trial is adjourned, then the 7 days applies to the new trial date.  All exhibits must also be marked by the Court prior to the commencement of testimony or exhibits will be excluded.  A good cause motion is necessary to add any exhibits.</w:t>
      </w:r>
    </w:p>
    <w:p w14:paraId="4EFC3E12" w14:textId="77777777" w:rsidR="00810613" w:rsidRPr="00703E73" w:rsidRDefault="00810613" w:rsidP="00810613">
      <w:pPr>
        <w:numPr>
          <w:ilvl w:val="0"/>
          <w:numId w:val="1"/>
        </w:numPr>
        <w:spacing w:after="0" w:line="240" w:lineRule="auto"/>
        <w:rPr>
          <w:rFonts w:cs="Calibri"/>
          <w:sz w:val="18"/>
          <w:szCs w:val="18"/>
        </w:rPr>
      </w:pPr>
      <w:r w:rsidRPr="00630802">
        <w:rPr>
          <w:rFonts w:cs="Calibri"/>
          <w:b/>
          <w:bCs/>
          <w:sz w:val="18"/>
          <w:szCs w:val="18"/>
        </w:rPr>
        <w:t>MEDIATION:</w:t>
      </w:r>
      <w:r w:rsidRPr="00703E73">
        <w:rPr>
          <w:rFonts w:cs="Calibri"/>
          <w:sz w:val="18"/>
          <w:szCs w:val="18"/>
        </w:rPr>
        <w:t xml:space="preserve">   Mediation may be requested by the parties no later than at the settlement conference.   </w:t>
      </w:r>
    </w:p>
    <w:p w14:paraId="3DE60989" w14:textId="77777777" w:rsidR="00810613" w:rsidRPr="00630802" w:rsidRDefault="00810613" w:rsidP="00810613">
      <w:pPr>
        <w:numPr>
          <w:ilvl w:val="0"/>
          <w:numId w:val="1"/>
        </w:numPr>
        <w:spacing w:after="0" w:line="240" w:lineRule="auto"/>
        <w:rPr>
          <w:rFonts w:cs="Calibri"/>
          <w:b/>
          <w:bCs/>
          <w:sz w:val="18"/>
          <w:szCs w:val="18"/>
        </w:rPr>
      </w:pPr>
      <w:r w:rsidRPr="00630802">
        <w:rPr>
          <w:rFonts w:cs="Calibri"/>
          <w:b/>
          <w:bCs/>
          <w:sz w:val="18"/>
          <w:szCs w:val="18"/>
        </w:rPr>
        <w:t>FURTHER ORDERED:</w:t>
      </w:r>
    </w:p>
    <w:p w14:paraId="3D08B42C" w14:textId="77777777" w:rsidR="00810613" w:rsidRPr="00703E73" w:rsidRDefault="00810613" w:rsidP="00810613">
      <w:pPr>
        <w:numPr>
          <w:ilvl w:val="1"/>
          <w:numId w:val="1"/>
        </w:numPr>
        <w:spacing w:after="0" w:line="240" w:lineRule="auto"/>
        <w:rPr>
          <w:rFonts w:cs="Calibri"/>
          <w:sz w:val="18"/>
          <w:szCs w:val="18"/>
        </w:rPr>
      </w:pPr>
      <w:r w:rsidRPr="00703E73">
        <w:rPr>
          <w:rFonts w:cs="Calibri"/>
          <w:sz w:val="18"/>
          <w:szCs w:val="18"/>
        </w:rPr>
        <w:t xml:space="preserve">Summary disposition motions </w:t>
      </w:r>
      <w:r w:rsidRPr="00703E73">
        <w:rPr>
          <w:rFonts w:cs="Calibri"/>
          <w:b/>
          <w:sz w:val="18"/>
          <w:szCs w:val="18"/>
        </w:rPr>
        <w:t>shall</w:t>
      </w:r>
      <w:r w:rsidRPr="00703E73">
        <w:rPr>
          <w:rFonts w:cs="Calibri"/>
          <w:sz w:val="18"/>
          <w:szCs w:val="18"/>
        </w:rPr>
        <w:t xml:space="preserve"> be brought for </w:t>
      </w:r>
      <w:r w:rsidRPr="00703E73">
        <w:rPr>
          <w:rFonts w:cs="Calibri"/>
          <w:b/>
          <w:sz w:val="18"/>
          <w:szCs w:val="18"/>
        </w:rPr>
        <w:t>hearing</w:t>
      </w:r>
      <w:r w:rsidRPr="00703E73">
        <w:rPr>
          <w:rFonts w:cs="Calibri"/>
          <w:sz w:val="18"/>
          <w:szCs w:val="18"/>
        </w:rPr>
        <w:t xml:space="preserve"> before the Court no later than </w:t>
      </w:r>
      <w:r w:rsidRPr="00703E73">
        <w:rPr>
          <w:rFonts w:cs="Calibri"/>
          <w:b/>
          <w:sz w:val="18"/>
          <w:szCs w:val="18"/>
        </w:rPr>
        <w:t>56</w:t>
      </w:r>
      <w:r w:rsidRPr="00703E73">
        <w:rPr>
          <w:rFonts w:cs="Calibri"/>
          <w:sz w:val="18"/>
          <w:szCs w:val="18"/>
        </w:rPr>
        <w:t xml:space="preserve"> </w:t>
      </w:r>
      <w:r w:rsidRPr="00703E73">
        <w:rPr>
          <w:rFonts w:cs="Calibri"/>
          <w:b/>
          <w:sz w:val="18"/>
          <w:szCs w:val="18"/>
        </w:rPr>
        <w:t>days</w:t>
      </w:r>
      <w:r w:rsidRPr="00703E73">
        <w:rPr>
          <w:rFonts w:cs="Calibri"/>
          <w:sz w:val="18"/>
          <w:szCs w:val="18"/>
        </w:rPr>
        <w:t xml:space="preserve"> prior to the original trial date.</w:t>
      </w:r>
    </w:p>
    <w:p w14:paraId="11F4C8F0" w14:textId="77777777" w:rsidR="00810613" w:rsidRPr="00703E73" w:rsidRDefault="00810613" w:rsidP="00810613">
      <w:pPr>
        <w:numPr>
          <w:ilvl w:val="1"/>
          <w:numId w:val="1"/>
        </w:numPr>
        <w:spacing w:after="0" w:line="240" w:lineRule="auto"/>
        <w:rPr>
          <w:rFonts w:cs="Calibri"/>
          <w:sz w:val="18"/>
          <w:szCs w:val="18"/>
        </w:rPr>
      </w:pPr>
      <w:r w:rsidRPr="00703E73">
        <w:rPr>
          <w:rFonts w:cs="Calibri"/>
          <w:sz w:val="18"/>
          <w:szCs w:val="18"/>
        </w:rPr>
        <w:t xml:space="preserve">All regularly scheduled motions and petitions are limited to </w:t>
      </w:r>
      <w:r w:rsidRPr="00703E73">
        <w:rPr>
          <w:rFonts w:cs="Calibri"/>
          <w:b/>
          <w:sz w:val="18"/>
          <w:szCs w:val="18"/>
        </w:rPr>
        <w:t>15 minutes</w:t>
      </w:r>
      <w:r w:rsidRPr="00703E73">
        <w:rPr>
          <w:rFonts w:cs="Calibri"/>
          <w:sz w:val="18"/>
          <w:szCs w:val="18"/>
        </w:rPr>
        <w:t>.</w:t>
      </w:r>
    </w:p>
    <w:p w14:paraId="76CD6791" w14:textId="77777777" w:rsidR="00810613" w:rsidRPr="00703E73" w:rsidRDefault="00810613" w:rsidP="00810613">
      <w:pPr>
        <w:numPr>
          <w:ilvl w:val="1"/>
          <w:numId w:val="1"/>
        </w:numPr>
        <w:spacing w:after="0" w:line="240" w:lineRule="auto"/>
        <w:rPr>
          <w:rFonts w:cs="Calibri"/>
          <w:sz w:val="18"/>
          <w:szCs w:val="18"/>
        </w:rPr>
      </w:pPr>
      <w:r w:rsidRPr="00703E73">
        <w:rPr>
          <w:rFonts w:cs="Calibri"/>
          <w:sz w:val="18"/>
          <w:szCs w:val="18"/>
        </w:rPr>
        <w:t xml:space="preserve">The parties must call and schedule a specific time for any contested petition or motion or motion requiring testimony.   You must call and receive a specific time and all such motions will be limited to 1 hour.  </w:t>
      </w:r>
    </w:p>
    <w:p w14:paraId="410B1159" w14:textId="77777777" w:rsidR="00810613" w:rsidRPr="00703E73" w:rsidRDefault="00810613" w:rsidP="00810613">
      <w:pPr>
        <w:numPr>
          <w:ilvl w:val="1"/>
          <w:numId w:val="1"/>
        </w:numPr>
        <w:spacing w:after="0" w:line="240" w:lineRule="auto"/>
        <w:rPr>
          <w:rFonts w:cs="Calibri"/>
          <w:sz w:val="18"/>
          <w:szCs w:val="18"/>
        </w:rPr>
      </w:pPr>
      <w:r w:rsidRPr="00703E73">
        <w:rPr>
          <w:rFonts w:cs="Calibri"/>
          <w:sz w:val="18"/>
          <w:szCs w:val="18"/>
        </w:rPr>
        <w:t xml:space="preserve">A sworn statement of assets, liabilities and income must be filed at the settlement conference. Failure to do so may result in default or dismissal.  </w:t>
      </w:r>
      <w:r w:rsidRPr="00703E73">
        <w:rPr>
          <w:rFonts w:cs="Calibri"/>
          <w:b/>
          <w:sz w:val="18"/>
          <w:szCs w:val="18"/>
          <w:u w:val="single"/>
        </w:rPr>
        <w:t>Failure to give an accurate and sworn statement may result in that property being forfeited or a dismissal.  If the Court finds a false or misleading or incomplete disclosure has been made, then the remedies of forfeiture, dismissal or default will be made.</w:t>
      </w:r>
    </w:p>
    <w:p w14:paraId="60A55DEB" w14:textId="77777777" w:rsidR="00810613" w:rsidRPr="00703E73" w:rsidRDefault="00810613" w:rsidP="00810613">
      <w:pPr>
        <w:numPr>
          <w:ilvl w:val="1"/>
          <w:numId w:val="1"/>
        </w:numPr>
        <w:spacing w:after="0" w:line="240" w:lineRule="auto"/>
        <w:rPr>
          <w:rFonts w:cs="Calibri"/>
          <w:sz w:val="18"/>
          <w:szCs w:val="18"/>
        </w:rPr>
      </w:pPr>
      <w:r w:rsidRPr="00703E73">
        <w:rPr>
          <w:rFonts w:cs="Calibri"/>
          <w:b/>
          <w:sz w:val="18"/>
          <w:szCs w:val="18"/>
        </w:rPr>
        <w:t>Within 21 days of the Trial</w:t>
      </w:r>
      <w:r w:rsidRPr="00703E73">
        <w:rPr>
          <w:rFonts w:cs="Calibri"/>
          <w:sz w:val="18"/>
          <w:szCs w:val="18"/>
        </w:rPr>
        <w:t>, and prior to the settlement conference, the parties must exchange a written settlement proposal as to all issues, including property division, alimony and child welfare matters.  With consent of the parties, the settlement proposals will be submitted to the Court at the conference.</w:t>
      </w:r>
    </w:p>
    <w:p w14:paraId="4310F15D" w14:textId="77777777" w:rsidR="00810613" w:rsidRPr="00703E73" w:rsidRDefault="00810613" w:rsidP="00810613">
      <w:pPr>
        <w:numPr>
          <w:ilvl w:val="1"/>
          <w:numId w:val="1"/>
        </w:numPr>
        <w:spacing w:after="0" w:line="240" w:lineRule="auto"/>
        <w:rPr>
          <w:rFonts w:cs="Calibri"/>
          <w:sz w:val="18"/>
          <w:szCs w:val="18"/>
        </w:rPr>
      </w:pPr>
      <w:r w:rsidRPr="00703E73">
        <w:rPr>
          <w:rFonts w:cs="Calibri"/>
          <w:sz w:val="18"/>
          <w:szCs w:val="18"/>
        </w:rPr>
        <w:t xml:space="preserve">All appraisals of real and personal property including pension values shall be completed in writing and exchanged between the parties </w:t>
      </w:r>
      <w:r w:rsidRPr="00703E73">
        <w:rPr>
          <w:rFonts w:cs="Calibri"/>
          <w:b/>
          <w:sz w:val="18"/>
          <w:szCs w:val="18"/>
        </w:rPr>
        <w:t>no later than the settlement conference</w:t>
      </w:r>
      <w:r w:rsidRPr="00703E73">
        <w:rPr>
          <w:rFonts w:cs="Calibri"/>
          <w:sz w:val="18"/>
          <w:szCs w:val="18"/>
        </w:rPr>
        <w:t>.</w:t>
      </w:r>
    </w:p>
    <w:p w14:paraId="7C085353" w14:textId="77777777" w:rsidR="00810613" w:rsidRPr="00703E73" w:rsidRDefault="00810613" w:rsidP="00810613">
      <w:pPr>
        <w:numPr>
          <w:ilvl w:val="1"/>
          <w:numId w:val="1"/>
        </w:numPr>
        <w:spacing w:after="0" w:line="240" w:lineRule="auto"/>
        <w:rPr>
          <w:rFonts w:cs="Calibri"/>
          <w:sz w:val="18"/>
          <w:szCs w:val="18"/>
        </w:rPr>
      </w:pPr>
      <w:r w:rsidRPr="00703E73">
        <w:rPr>
          <w:rFonts w:cs="Calibri"/>
          <w:b/>
          <w:sz w:val="18"/>
          <w:szCs w:val="18"/>
        </w:rPr>
        <w:t>Business evaluators/property appraisers and experts</w:t>
      </w:r>
      <w:r w:rsidRPr="00703E73">
        <w:rPr>
          <w:rFonts w:cs="Calibri"/>
          <w:sz w:val="18"/>
          <w:szCs w:val="18"/>
        </w:rPr>
        <w:t>.  It is the court’s intention and desire that the parties stipulate to one expert.   If the parties cannot agree upon one expert in these areas, the court may exercise its discretion and appoint one expert, neutral to the parties.</w:t>
      </w:r>
    </w:p>
    <w:p w14:paraId="66718F7C" w14:textId="77777777" w:rsidR="00810613" w:rsidRPr="00703E73" w:rsidRDefault="00810613" w:rsidP="00810613">
      <w:pPr>
        <w:numPr>
          <w:ilvl w:val="0"/>
          <w:numId w:val="1"/>
        </w:numPr>
        <w:spacing w:after="0" w:line="240" w:lineRule="auto"/>
        <w:rPr>
          <w:rFonts w:cs="Calibri"/>
          <w:sz w:val="18"/>
          <w:szCs w:val="18"/>
        </w:rPr>
      </w:pPr>
      <w:r w:rsidRPr="00703E73">
        <w:rPr>
          <w:rFonts w:cs="Calibri"/>
          <w:b/>
          <w:sz w:val="18"/>
          <w:szCs w:val="18"/>
        </w:rPr>
        <w:t>There will be no extension of dates or deadlines referenced to in this Order without Court approval.   Request for adjournments of Trial shall be in strict compliance of MCR 2.503.</w:t>
      </w:r>
    </w:p>
    <w:p w14:paraId="2D9A7D76" w14:textId="77777777" w:rsidR="00810613" w:rsidRPr="00703E73" w:rsidRDefault="00810613" w:rsidP="00810613">
      <w:pPr>
        <w:spacing w:after="0"/>
        <w:jc w:val="center"/>
        <w:rPr>
          <w:rFonts w:cs="Calibri"/>
          <w:b/>
          <w:i/>
          <w:sz w:val="18"/>
          <w:szCs w:val="18"/>
        </w:rPr>
      </w:pPr>
      <w:r w:rsidRPr="00703E73">
        <w:rPr>
          <w:rFonts w:cs="Calibri"/>
          <w:b/>
          <w:i/>
          <w:sz w:val="18"/>
          <w:szCs w:val="18"/>
        </w:rPr>
        <w:t>FAILURE OF THE PARTIES OR ATTORNEYS TO COMPLY WITH ANY OF THE ABOVE MAY RESULT IN DISMISSAL OF YOUR CASE, A DEFAULT OR OTHER REMEDIES ALLOWED BY THE MICHIGAN GENERAL COURT RULES.</w:t>
      </w:r>
    </w:p>
    <w:p w14:paraId="23797160" w14:textId="77777777" w:rsidR="00630802" w:rsidRDefault="00630802" w:rsidP="00810613">
      <w:pPr>
        <w:spacing w:after="0"/>
        <w:rPr>
          <w:rFonts w:cs="Calibri"/>
          <w:b/>
          <w:i/>
          <w:sz w:val="16"/>
          <w:szCs w:val="16"/>
        </w:rPr>
      </w:pPr>
    </w:p>
    <w:p w14:paraId="592E77F2" w14:textId="1BDDB51A" w:rsidR="00810613" w:rsidRPr="00703E73" w:rsidRDefault="00810613" w:rsidP="00810613">
      <w:pPr>
        <w:spacing w:after="0"/>
        <w:rPr>
          <w:rFonts w:cs="Calibri"/>
          <w:b/>
          <w:i/>
          <w:sz w:val="16"/>
          <w:szCs w:val="16"/>
        </w:rPr>
      </w:pPr>
      <w:r w:rsidRPr="00703E73">
        <w:rPr>
          <w:rFonts w:cs="Calibri"/>
          <w:b/>
          <w:i/>
          <w:sz w:val="16"/>
          <w:szCs w:val="16"/>
        </w:rPr>
        <w:t>* If you are pro per, unrepresented by counsel, and do not understand this Order, you should contact an attorney immediately or your rights may be affected.</w:t>
      </w:r>
    </w:p>
    <w:p w14:paraId="2E10B973" w14:textId="77777777" w:rsidR="00810613" w:rsidRDefault="00810613"/>
    <w:sectPr w:rsidR="00810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48C8"/>
    <w:multiLevelType w:val="hybridMultilevel"/>
    <w:tmpl w:val="2E68CA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5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13"/>
    <w:rsid w:val="00630802"/>
    <w:rsid w:val="0081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3FE7"/>
  <w15:chartTrackingRefBased/>
  <w15:docId w15:val="{B2D9A385-5E1D-4782-B21B-B6632561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Harper</dc:creator>
  <cp:keywords/>
  <dc:description/>
  <cp:lastModifiedBy>Dicken, Brittany</cp:lastModifiedBy>
  <cp:revision>2</cp:revision>
  <dcterms:created xsi:type="dcterms:W3CDTF">2023-12-21T17:13:00Z</dcterms:created>
  <dcterms:modified xsi:type="dcterms:W3CDTF">2023-12-21T17:13:00Z</dcterms:modified>
</cp:coreProperties>
</file>